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7269" w:rsidRPr="00986B47" w:rsidRDefault="004123DE" w:rsidP="007A7269">
      <w:pPr>
        <w:spacing w:after="0"/>
        <w:jc w:val="center"/>
        <w:rPr>
          <w:rFonts w:ascii="Arial" w:hAnsi="Arial" w:cs="Arial"/>
          <w:b/>
          <w:sz w:val="24"/>
          <w:szCs w:val="24"/>
          <w:lang w:val="en-GB"/>
        </w:rPr>
      </w:pPr>
      <w:r w:rsidRPr="00986B47">
        <w:rPr>
          <w:rFonts w:ascii="Helvetica" w:hAnsi="Helvetica" w:cs="Arial"/>
          <w:b/>
          <w:caps/>
          <w:sz w:val="24"/>
          <w:szCs w:val="24"/>
          <w:lang w:val="en-GB"/>
        </w:rPr>
        <w:t>BASIC INFORMATION REGARDING CALCULATION OF THE SALARY</w:t>
      </w:r>
      <w:r w:rsidR="00864D69" w:rsidRPr="00986B47">
        <w:rPr>
          <w:rFonts w:ascii="Helvetica" w:hAnsi="Helvetica" w:cs="Arial"/>
          <w:b/>
          <w:caps/>
          <w:sz w:val="24"/>
          <w:szCs w:val="24"/>
          <w:lang w:val="en-GB"/>
        </w:rPr>
        <w:t xml:space="preserve"> AND</w:t>
      </w:r>
      <w:r w:rsidRPr="00986B47">
        <w:rPr>
          <w:rFonts w:ascii="Helvetica" w:hAnsi="Helvetica" w:cs="Arial"/>
          <w:b/>
          <w:caps/>
          <w:sz w:val="24"/>
          <w:szCs w:val="24"/>
          <w:lang w:val="en-GB"/>
        </w:rPr>
        <w:t xml:space="preserve"> COMPENSATIONS</w:t>
      </w:r>
    </w:p>
    <w:p w:rsidR="007A7269" w:rsidRPr="00986B47" w:rsidRDefault="007A7269" w:rsidP="007A7269">
      <w:pPr>
        <w:spacing w:after="0"/>
        <w:jc w:val="center"/>
        <w:rPr>
          <w:rFonts w:ascii="Arial" w:hAnsi="Arial" w:cs="Arial"/>
          <w:b/>
          <w:sz w:val="20"/>
          <w:szCs w:val="20"/>
          <w:lang w:val="en-GB"/>
        </w:rPr>
      </w:pPr>
      <w:r w:rsidRPr="00986B47">
        <w:rPr>
          <w:rFonts w:ascii="Arial" w:hAnsi="Arial" w:cs="Arial"/>
          <w:b/>
          <w:sz w:val="20"/>
          <w:szCs w:val="20"/>
          <w:lang w:val="en-GB"/>
        </w:rPr>
        <w:t>(</w:t>
      </w:r>
      <w:r w:rsidR="004123DE" w:rsidRPr="00986B47">
        <w:rPr>
          <w:rFonts w:ascii="Arial" w:hAnsi="Arial" w:cs="Arial"/>
          <w:b/>
          <w:sz w:val="20"/>
          <w:szCs w:val="20"/>
          <w:lang w:val="en-GB"/>
        </w:rPr>
        <w:t xml:space="preserve">applicable </w:t>
      </w:r>
      <w:r w:rsidR="00986B47" w:rsidRPr="00986B47">
        <w:rPr>
          <w:rFonts w:ascii="Arial" w:hAnsi="Arial" w:cs="Arial"/>
          <w:b/>
          <w:sz w:val="20"/>
          <w:szCs w:val="20"/>
          <w:lang w:val="en-GB"/>
        </w:rPr>
        <w:t>from 01.0</w:t>
      </w:r>
      <w:r w:rsidR="00E80B73">
        <w:rPr>
          <w:rFonts w:ascii="Arial" w:hAnsi="Arial" w:cs="Arial"/>
          <w:b/>
          <w:sz w:val="20"/>
          <w:szCs w:val="20"/>
          <w:lang w:val="en-GB"/>
        </w:rPr>
        <w:t>1</w:t>
      </w:r>
      <w:r w:rsidR="00986B47" w:rsidRPr="00986B47">
        <w:rPr>
          <w:rFonts w:ascii="Arial" w:hAnsi="Arial" w:cs="Arial"/>
          <w:b/>
          <w:sz w:val="20"/>
          <w:szCs w:val="20"/>
          <w:lang w:val="en-GB"/>
        </w:rPr>
        <w:t>.</w:t>
      </w:r>
      <w:r w:rsidRPr="00986B47">
        <w:rPr>
          <w:rFonts w:ascii="Arial" w:hAnsi="Arial" w:cs="Arial"/>
          <w:b/>
          <w:sz w:val="20"/>
          <w:szCs w:val="20"/>
          <w:lang w:val="en-GB"/>
        </w:rPr>
        <w:t>20</w:t>
      </w:r>
      <w:r w:rsidR="00E80B73">
        <w:rPr>
          <w:rFonts w:ascii="Arial" w:hAnsi="Arial" w:cs="Arial"/>
          <w:b/>
          <w:sz w:val="20"/>
          <w:szCs w:val="20"/>
          <w:lang w:val="en-GB"/>
        </w:rPr>
        <w:t>2</w:t>
      </w:r>
      <w:r w:rsidR="0088259F">
        <w:rPr>
          <w:rFonts w:ascii="Arial" w:hAnsi="Arial" w:cs="Arial"/>
          <w:b/>
          <w:sz w:val="20"/>
          <w:szCs w:val="20"/>
          <w:lang w:val="en-GB"/>
        </w:rPr>
        <w:t>4</w:t>
      </w:r>
      <w:r w:rsidRPr="00986B47">
        <w:rPr>
          <w:rFonts w:ascii="Arial" w:hAnsi="Arial" w:cs="Arial"/>
          <w:b/>
          <w:sz w:val="20"/>
          <w:szCs w:val="20"/>
          <w:lang w:val="en-GB"/>
        </w:rPr>
        <w:t>)</w:t>
      </w:r>
    </w:p>
    <w:p w:rsidR="007A7269" w:rsidRPr="004123DE" w:rsidRDefault="004123DE" w:rsidP="007A7269">
      <w:pPr>
        <w:spacing w:after="0"/>
        <w:jc w:val="both"/>
        <w:rPr>
          <w:rFonts w:ascii="Arial" w:hAnsi="Arial" w:cs="Arial"/>
          <w:b/>
          <w:color w:val="92D050"/>
          <w:lang w:val="en-GB"/>
        </w:rPr>
      </w:pPr>
      <w:r>
        <w:rPr>
          <w:rFonts w:ascii="Arial" w:hAnsi="Arial" w:cs="Arial"/>
          <w:b/>
          <w:color w:val="92D050"/>
          <w:lang w:val="en-GB"/>
        </w:rPr>
        <w:t>Gross salary</w:t>
      </w:r>
    </w:p>
    <w:p w:rsidR="007A7269" w:rsidRPr="004123DE" w:rsidRDefault="007A7269" w:rsidP="007A7269">
      <w:pPr>
        <w:spacing w:after="0"/>
        <w:jc w:val="both"/>
        <w:rPr>
          <w:rFonts w:ascii="Arial" w:hAnsi="Arial" w:cs="Arial"/>
          <w:lang w:val="en-GB"/>
        </w:rPr>
      </w:pPr>
      <w:r w:rsidRPr="004123DE">
        <w:rPr>
          <w:rFonts w:ascii="Arial" w:hAnsi="Arial" w:cs="Arial"/>
          <w:lang w:val="en-GB"/>
        </w:rPr>
        <w:t>- 4</w:t>
      </w:r>
      <w:r w:rsidR="004123DE">
        <w:rPr>
          <w:rFonts w:ascii="Arial" w:hAnsi="Arial" w:cs="Arial"/>
          <w:lang w:val="en-GB"/>
        </w:rPr>
        <w:t>.</w:t>
      </w:r>
      <w:r w:rsidRPr="004123DE">
        <w:rPr>
          <w:rFonts w:ascii="Arial" w:hAnsi="Arial" w:cs="Arial"/>
          <w:lang w:val="en-GB"/>
        </w:rPr>
        <w:t xml:space="preserve">5% </w:t>
      </w:r>
      <w:r w:rsidR="004123DE">
        <w:rPr>
          <w:rFonts w:ascii="Arial" w:hAnsi="Arial" w:cs="Arial"/>
          <w:lang w:val="en-GB"/>
        </w:rPr>
        <w:t>health insurance</w:t>
      </w:r>
    </w:p>
    <w:p w:rsidR="007A7269" w:rsidRPr="004123DE" w:rsidRDefault="007A7269" w:rsidP="007A7269">
      <w:pPr>
        <w:spacing w:after="0"/>
        <w:jc w:val="both"/>
        <w:rPr>
          <w:rFonts w:ascii="Arial" w:hAnsi="Arial" w:cs="Arial"/>
          <w:lang w:val="en-GB"/>
        </w:rPr>
      </w:pPr>
      <w:r w:rsidRPr="004123DE">
        <w:rPr>
          <w:rFonts w:ascii="Arial" w:hAnsi="Arial" w:cs="Arial"/>
          <w:lang w:val="en-GB"/>
        </w:rPr>
        <w:t xml:space="preserve">- </w:t>
      </w:r>
      <w:r w:rsidR="0088259F">
        <w:rPr>
          <w:rFonts w:ascii="Arial" w:hAnsi="Arial" w:cs="Arial"/>
          <w:lang w:val="en-GB"/>
        </w:rPr>
        <w:t>7.1</w:t>
      </w:r>
      <w:r w:rsidRPr="004123DE">
        <w:rPr>
          <w:rFonts w:ascii="Arial" w:hAnsi="Arial" w:cs="Arial"/>
          <w:lang w:val="en-GB"/>
        </w:rPr>
        <w:t>% soci</w:t>
      </w:r>
      <w:r w:rsidR="004123DE">
        <w:rPr>
          <w:rFonts w:ascii="Arial" w:hAnsi="Arial" w:cs="Arial"/>
          <w:lang w:val="en-GB"/>
        </w:rPr>
        <w:t>al security insurance</w:t>
      </w:r>
    </w:p>
    <w:p w:rsidR="007A7269" w:rsidRPr="008360A0" w:rsidRDefault="007A7269" w:rsidP="007A7269">
      <w:pPr>
        <w:spacing w:after="0"/>
        <w:jc w:val="both"/>
        <w:rPr>
          <w:rFonts w:ascii="Arial" w:hAnsi="Arial" w:cs="Arial"/>
          <w:sz w:val="18"/>
          <w:szCs w:val="18"/>
          <w:lang w:val="en-GB"/>
        </w:rPr>
      </w:pPr>
      <w:r w:rsidRPr="004123DE">
        <w:rPr>
          <w:rFonts w:ascii="Arial" w:hAnsi="Arial" w:cs="Arial"/>
          <w:lang w:val="en-GB"/>
        </w:rPr>
        <w:t xml:space="preserve">- 15% </w:t>
      </w:r>
      <w:r w:rsidR="004123DE">
        <w:rPr>
          <w:rFonts w:ascii="Arial" w:hAnsi="Arial" w:cs="Arial"/>
          <w:lang w:val="en-GB"/>
        </w:rPr>
        <w:t>tax on income from employment</w:t>
      </w:r>
      <w:r w:rsidRPr="004123DE">
        <w:rPr>
          <w:rFonts w:ascii="Arial" w:hAnsi="Arial" w:cs="Arial"/>
          <w:lang w:val="en-GB"/>
        </w:rPr>
        <w:t xml:space="preserve">, </w:t>
      </w:r>
      <w:r w:rsidR="004123DE">
        <w:rPr>
          <w:rFonts w:ascii="Arial" w:hAnsi="Arial" w:cs="Arial"/>
          <w:lang w:val="en-GB"/>
        </w:rPr>
        <w:t xml:space="preserve">calculated from the </w:t>
      </w:r>
      <w:r w:rsidR="00D55628">
        <w:rPr>
          <w:rFonts w:ascii="Arial" w:hAnsi="Arial" w:cs="Arial"/>
          <w:lang w:val="en-GB"/>
        </w:rPr>
        <w:t>gross salary</w:t>
      </w:r>
    </w:p>
    <w:p w:rsidR="007A7269" w:rsidRPr="004123DE" w:rsidRDefault="007A7269" w:rsidP="007A7269">
      <w:pPr>
        <w:spacing w:after="0"/>
        <w:jc w:val="both"/>
        <w:rPr>
          <w:rFonts w:ascii="Arial" w:hAnsi="Arial" w:cs="Arial"/>
          <w:lang w:val="en-GB"/>
        </w:rPr>
      </w:pPr>
      <w:r w:rsidRPr="004123DE">
        <w:rPr>
          <w:rFonts w:ascii="Arial" w:hAnsi="Arial" w:cs="Arial"/>
          <w:lang w:val="en-GB"/>
        </w:rPr>
        <w:t xml:space="preserve">- </w:t>
      </w:r>
      <w:r w:rsidR="00D55628">
        <w:rPr>
          <w:rFonts w:ascii="Arial" w:hAnsi="Arial" w:cs="Arial"/>
          <w:lang w:val="en-GB"/>
        </w:rPr>
        <w:t>23</w:t>
      </w:r>
      <w:r w:rsidRPr="004123DE">
        <w:rPr>
          <w:rFonts w:ascii="Arial" w:hAnsi="Arial" w:cs="Arial"/>
          <w:lang w:val="en-GB"/>
        </w:rPr>
        <w:t xml:space="preserve">% </w:t>
      </w:r>
      <w:r w:rsidR="00D55628">
        <w:rPr>
          <w:rFonts w:ascii="Arial" w:hAnsi="Arial" w:cs="Arial"/>
          <w:lang w:val="en-GB"/>
        </w:rPr>
        <w:t>tax on income from employment</w:t>
      </w:r>
      <w:r w:rsidRPr="004123DE">
        <w:rPr>
          <w:rFonts w:ascii="Arial" w:hAnsi="Arial" w:cs="Arial"/>
          <w:lang w:val="en-GB"/>
        </w:rPr>
        <w:t xml:space="preserve">, </w:t>
      </w:r>
      <w:r w:rsidR="004123DE">
        <w:rPr>
          <w:rFonts w:ascii="Arial" w:hAnsi="Arial" w:cs="Arial"/>
          <w:lang w:val="en-GB"/>
        </w:rPr>
        <w:t xml:space="preserve">calculated from the gross salary exceeding CZK </w:t>
      </w:r>
      <w:r w:rsidR="0088259F">
        <w:rPr>
          <w:rFonts w:ascii="Arial" w:hAnsi="Arial" w:cs="Arial"/>
          <w:lang w:val="en-GB"/>
        </w:rPr>
        <w:t>131.901</w:t>
      </w:r>
      <w:bookmarkStart w:id="0" w:name="_GoBack"/>
      <w:bookmarkEnd w:id="0"/>
      <w:r w:rsidRPr="004123DE">
        <w:rPr>
          <w:rFonts w:ascii="Arial" w:hAnsi="Arial" w:cs="Arial"/>
          <w:lang w:val="en-GB"/>
        </w:rPr>
        <w:t xml:space="preserve"> </w:t>
      </w:r>
      <w:r w:rsidR="004123DE">
        <w:rPr>
          <w:rFonts w:ascii="Arial" w:hAnsi="Arial" w:cs="Arial"/>
          <w:lang w:val="en-GB"/>
        </w:rPr>
        <w:t>per month</w:t>
      </w:r>
    </w:p>
    <w:p w:rsidR="007A7269" w:rsidRPr="004123DE" w:rsidRDefault="007A7269" w:rsidP="007A7269">
      <w:pPr>
        <w:spacing w:after="0"/>
        <w:jc w:val="both"/>
        <w:rPr>
          <w:rFonts w:ascii="Arial" w:hAnsi="Arial" w:cs="Arial"/>
          <w:lang w:val="en-GB"/>
        </w:rPr>
      </w:pPr>
      <w:r w:rsidRPr="004123DE">
        <w:rPr>
          <w:rFonts w:ascii="Arial" w:hAnsi="Arial" w:cs="Arial"/>
          <w:lang w:val="en-GB"/>
        </w:rPr>
        <w:t xml:space="preserve">+ </w:t>
      </w:r>
      <w:r w:rsidR="004123DE">
        <w:rPr>
          <w:rFonts w:ascii="Arial" w:hAnsi="Arial" w:cs="Arial"/>
          <w:lang w:val="en-GB"/>
        </w:rPr>
        <w:t xml:space="preserve">compensation for temporary work incapacity (sickness) (the first </w:t>
      </w:r>
      <w:r w:rsidRPr="004123DE">
        <w:rPr>
          <w:rFonts w:ascii="Arial" w:hAnsi="Arial" w:cs="Arial"/>
          <w:lang w:val="en-GB"/>
        </w:rPr>
        <w:t>14 d</w:t>
      </w:r>
      <w:r w:rsidR="004123DE">
        <w:rPr>
          <w:rFonts w:ascii="Arial" w:hAnsi="Arial" w:cs="Arial"/>
          <w:lang w:val="en-GB"/>
        </w:rPr>
        <w:t>ays of sickness paid by the employer</w:t>
      </w:r>
      <w:r w:rsidRPr="004123DE">
        <w:rPr>
          <w:rFonts w:ascii="Arial" w:hAnsi="Arial" w:cs="Arial"/>
          <w:lang w:val="en-GB"/>
        </w:rPr>
        <w:t>)</w:t>
      </w:r>
    </w:p>
    <w:p w:rsidR="007A7269" w:rsidRPr="004123DE" w:rsidRDefault="007A7269" w:rsidP="007A7269">
      <w:pPr>
        <w:spacing w:after="0"/>
        <w:jc w:val="both"/>
        <w:rPr>
          <w:rFonts w:ascii="Arial" w:hAnsi="Arial" w:cs="Arial"/>
          <w:b/>
          <w:color w:val="92D050"/>
          <w:lang w:val="en-GB"/>
        </w:rPr>
      </w:pPr>
      <w:r w:rsidRPr="004123DE">
        <w:rPr>
          <w:rFonts w:ascii="Arial" w:hAnsi="Arial" w:cs="Arial"/>
          <w:lang w:val="en-GB"/>
        </w:rPr>
        <w:t xml:space="preserve">= </w:t>
      </w:r>
      <w:r w:rsidR="004123DE">
        <w:rPr>
          <w:rFonts w:ascii="Arial" w:hAnsi="Arial" w:cs="Arial"/>
          <w:b/>
          <w:color w:val="92D050"/>
          <w:lang w:val="en-GB"/>
        </w:rPr>
        <w:t>Net salary</w:t>
      </w:r>
    </w:p>
    <w:p w:rsidR="007A7269" w:rsidRPr="004123DE" w:rsidRDefault="00B010FB" w:rsidP="007A7269">
      <w:pPr>
        <w:spacing w:after="0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+</w:t>
      </w:r>
      <w:r w:rsidR="007A7269" w:rsidRPr="004123DE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meal allowance</w:t>
      </w:r>
    </w:p>
    <w:p w:rsidR="007A7269" w:rsidRPr="004123DE" w:rsidRDefault="007A7269" w:rsidP="007A7269">
      <w:pPr>
        <w:spacing w:after="0"/>
        <w:jc w:val="both"/>
        <w:rPr>
          <w:rFonts w:ascii="Arial" w:hAnsi="Arial" w:cs="Arial"/>
          <w:lang w:val="en-GB"/>
        </w:rPr>
      </w:pPr>
      <w:r w:rsidRPr="004123DE">
        <w:rPr>
          <w:rFonts w:ascii="Arial" w:hAnsi="Arial" w:cs="Arial"/>
          <w:lang w:val="en-GB"/>
        </w:rPr>
        <w:t xml:space="preserve">+/- </w:t>
      </w:r>
      <w:r w:rsidR="004123DE">
        <w:rPr>
          <w:rFonts w:ascii="Arial" w:hAnsi="Arial" w:cs="Arial"/>
          <w:lang w:val="en-GB"/>
        </w:rPr>
        <w:t>settlement of business travel expenses</w:t>
      </w:r>
    </w:p>
    <w:p w:rsidR="007A7269" w:rsidRPr="004123DE" w:rsidRDefault="007A7269" w:rsidP="007A7269">
      <w:pPr>
        <w:spacing w:after="0"/>
        <w:jc w:val="both"/>
        <w:rPr>
          <w:rFonts w:ascii="Arial" w:hAnsi="Arial" w:cs="Arial"/>
          <w:lang w:val="en-GB"/>
        </w:rPr>
      </w:pPr>
      <w:r w:rsidRPr="004123DE">
        <w:rPr>
          <w:rFonts w:ascii="Arial" w:hAnsi="Arial" w:cs="Arial"/>
          <w:lang w:val="en-GB"/>
        </w:rPr>
        <w:t xml:space="preserve">= </w:t>
      </w:r>
      <w:r w:rsidR="004123DE" w:rsidRPr="00D55628">
        <w:rPr>
          <w:rFonts w:ascii="Arial" w:hAnsi="Arial" w:cs="Arial"/>
          <w:b/>
          <w:color w:val="92D050"/>
          <w:lang w:val="en-GB"/>
        </w:rPr>
        <w:t xml:space="preserve">Salary to be paid out </w:t>
      </w:r>
      <w:r w:rsidRPr="004123DE">
        <w:rPr>
          <w:rFonts w:ascii="Arial" w:hAnsi="Arial" w:cs="Arial"/>
          <w:lang w:val="en-GB"/>
        </w:rPr>
        <w:t>(</w:t>
      </w:r>
      <w:r w:rsidR="004123DE">
        <w:rPr>
          <w:rFonts w:ascii="Arial" w:hAnsi="Arial" w:cs="Arial"/>
          <w:lang w:val="en-GB"/>
        </w:rPr>
        <w:t>amount sent to the employee's bank account</w:t>
      </w:r>
      <w:r w:rsidRPr="004123DE">
        <w:rPr>
          <w:rFonts w:ascii="Arial" w:hAnsi="Arial" w:cs="Arial"/>
          <w:lang w:val="en-GB"/>
        </w:rPr>
        <w:t>)</w:t>
      </w:r>
    </w:p>
    <w:p w:rsidR="007A7269" w:rsidRDefault="007A7269" w:rsidP="007A7269">
      <w:pPr>
        <w:spacing w:after="0"/>
        <w:jc w:val="both"/>
        <w:rPr>
          <w:rFonts w:ascii="Arial" w:hAnsi="Arial" w:cs="Arial"/>
          <w:lang w:val="en-GB"/>
        </w:rPr>
      </w:pPr>
    </w:p>
    <w:p w:rsidR="0052520E" w:rsidRPr="00246CC6" w:rsidRDefault="0052520E" w:rsidP="00246CC6">
      <w:pPr>
        <w:spacing w:after="0"/>
        <w:jc w:val="both"/>
        <w:rPr>
          <w:rFonts w:ascii="Arial" w:hAnsi="Arial" w:cs="Arial"/>
          <w:color w:val="FF0000"/>
        </w:rPr>
      </w:pPr>
      <w:r w:rsidRPr="0052520E">
        <w:rPr>
          <w:rFonts w:ascii="Arial" w:hAnsi="Arial" w:cs="Arial"/>
          <w:b/>
          <w:lang w:val="en-GB"/>
        </w:rPr>
        <w:t>The wage is payable monthly</w:t>
      </w:r>
      <w:r>
        <w:rPr>
          <w:rStyle w:val="tlid-translation"/>
          <w:rFonts w:ascii="Roboto" w:hAnsi="Roboto"/>
          <w:color w:val="777777"/>
        </w:rPr>
        <w:t xml:space="preserve"> </w:t>
      </w:r>
      <w:r w:rsidRPr="0052520E">
        <w:rPr>
          <w:rFonts w:ascii="Arial" w:hAnsi="Arial" w:cs="Arial"/>
          <w:lang w:val="en-GB"/>
        </w:rPr>
        <w:t>in the month that follows the month when the work was done,</w:t>
      </w:r>
      <w:r>
        <w:rPr>
          <w:rFonts w:ascii="Arial" w:hAnsi="Arial" w:cs="Arial"/>
          <w:lang w:val="en-GB"/>
        </w:rPr>
        <w:t xml:space="preserve"> on the </w:t>
      </w:r>
      <w:proofErr w:type="spellStart"/>
      <w:r w:rsidRPr="00D55628">
        <w:rPr>
          <w:rFonts w:ascii="Arial" w:hAnsi="Arial" w:cs="Arial"/>
          <w:b/>
          <w:lang w:val="en-GB"/>
        </w:rPr>
        <w:t>payout</w:t>
      </w:r>
      <w:proofErr w:type="spellEnd"/>
      <w:r w:rsidRPr="00D55628">
        <w:rPr>
          <w:rFonts w:ascii="Arial" w:hAnsi="Arial" w:cs="Arial"/>
          <w:b/>
          <w:lang w:val="en-GB"/>
        </w:rPr>
        <w:t xml:space="preserve"> date</w:t>
      </w:r>
      <w:r w:rsidRPr="0052520E">
        <w:rPr>
          <w:rFonts w:ascii="Arial" w:hAnsi="Arial" w:cs="Arial"/>
          <w:lang w:val="en-GB"/>
        </w:rPr>
        <w:t xml:space="preserve"> according to the schedule for </w:t>
      </w:r>
      <w:r w:rsidR="00E92C6F">
        <w:rPr>
          <w:rFonts w:ascii="Arial" w:hAnsi="Arial" w:cs="Arial"/>
          <w:lang w:val="en-GB"/>
        </w:rPr>
        <w:t>current year</w:t>
      </w:r>
      <w:r w:rsidRPr="0052520E">
        <w:rPr>
          <w:rFonts w:ascii="Arial" w:hAnsi="Arial" w:cs="Arial"/>
          <w:lang w:val="en-GB"/>
        </w:rPr>
        <w:t xml:space="preserve"> (</w:t>
      </w:r>
      <w:r w:rsidRPr="00D55628">
        <w:rPr>
          <w:rFonts w:ascii="Arial" w:hAnsi="Arial" w:cs="Arial"/>
          <w:b/>
          <w:lang w:val="en-GB"/>
        </w:rPr>
        <w:t>usually 12</w:t>
      </w:r>
      <w:r w:rsidRPr="00D55628">
        <w:rPr>
          <w:rFonts w:ascii="Arial" w:hAnsi="Arial" w:cs="Arial"/>
          <w:b/>
          <w:vertAlign w:val="superscript"/>
          <w:lang w:val="en-GB"/>
        </w:rPr>
        <w:t>th</w:t>
      </w:r>
      <w:r w:rsidRPr="00D55628">
        <w:rPr>
          <w:rFonts w:ascii="Arial" w:hAnsi="Arial" w:cs="Arial"/>
          <w:b/>
          <w:lang w:val="en-GB"/>
        </w:rPr>
        <w:t xml:space="preserve"> day</w:t>
      </w:r>
      <w:r w:rsidRPr="0052520E">
        <w:rPr>
          <w:rFonts w:ascii="Arial" w:hAnsi="Arial" w:cs="Arial"/>
          <w:lang w:val="en-GB"/>
        </w:rPr>
        <w:t>).</w:t>
      </w:r>
    </w:p>
    <w:p w:rsidR="007A7269" w:rsidRPr="004123DE" w:rsidRDefault="004123DE" w:rsidP="007A7269">
      <w:pPr>
        <w:spacing w:after="0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The salary for the time of </w:t>
      </w:r>
      <w:r>
        <w:rPr>
          <w:rFonts w:ascii="Arial" w:hAnsi="Arial" w:cs="Arial"/>
          <w:b/>
          <w:lang w:val="en-GB"/>
        </w:rPr>
        <w:t>vacation, sickness or any other obstacles at work</w:t>
      </w:r>
      <w:r>
        <w:rPr>
          <w:rFonts w:ascii="Arial" w:hAnsi="Arial" w:cs="Arial"/>
          <w:lang w:val="en-GB"/>
        </w:rPr>
        <w:t xml:space="preserve"> is calculated differently </w:t>
      </w:r>
      <w:r w:rsidR="007A7269" w:rsidRPr="004123DE">
        <w:rPr>
          <w:rFonts w:ascii="Arial" w:hAnsi="Arial" w:cs="Arial"/>
          <w:lang w:val="en-GB"/>
        </w:rPr>
        <w:t>(</w:t>
      </w:r>
      <w:r>
        <w:rPr>
          <w:rFonts w:ascii="Arial" w:hAnsi="Arial" w:cs="Arial"/>
          <w:lang w:val="en-GB"/>
        </w:rPr>
        <w:t>in compliance with applicable legal regulations</w:t>
      </w:r>
      <w:r w:rsidR="007A7269" w:rsidRPr="004123DE">
        <w:rPr>
          <w:rFonts w:ascii="Arial" w:hAnsi="Arial" w:cs="Arial"/>
          <w:lang w:val="en-GB"/>
        </w:rPr>
        <w:t>)</w:t>
      </w:r>
      <w:r>
        <w:rPr>
          <w:rFonts w:ascii="Arial" w:hAnsi="Arial" w:cs="Arial"/>
          <w:lang w:val="en-GB"/>
        </w:rPr>
        <w:t xml:space="preserve">, which </w:t>
      </w:r>
      <w:r w:rsidR="007A7269" w:rsidRPr="004123DE">
        <w:rPr>
          <w:rFonts w:ascii="Arial" w:hAnsi="Arial" w:cs="Arial"/>
          <w:b/>
          <w:lang w:val="en-GB"/>
        </w:rPr>
        <w:t>m</w:t>
      </w:r>
      <w:r>
        <w:rPr>
          <w:rFonts w:ascii="Arial" w:hAnsi="Arial" w:cs="Arial"/>
          <w:b/>
          <w:lang w:val="en-GB"/>
        </w:rPr>
        <w:t>ay result in a different amount of the gross monthly salary compared to the amount agreed in the salary assessment</w:t>
      </w:r>
      <w:r w:rsidR="007A7269" w:rsidRPr="004123DE">
        <w:rPr>
          <w:rFonts w:ascii="Arial" w:hAnsi="Arial" w:cs="Arial"/>
          <w:lang w:val="en-GB"/>
        </w:rPr>
        <w:t>.</w:t>
      </w:r>
    </w:p>
    <w:p w:rsidR="007A7269" w:rsidRPr="004123DE" w:rsidRDefault="007A7269" w:rsidP="007A7269">
      <w:pPr>
        <w:spacing w:after="0"/>
        <w:jc w:val="both"/>
        <w:rPr>
          <w:rFonts w:ascii="Arial" w:hAnsi="Arial" w:cs="Arial"/>
          <w:lang w:val="en-GB"/>
        </w:rPr>
      </w:pPr>
    </w:p>
    <w:p w:rsidR="007A7269" w:rsidRPr="004123DE" w:rsidRDefault="004123DE" w:rsidP="007A7269">
      <w:pPr>
        <w:spacing w:after="0"/>
        <w:jc w:val="both"/>
        <w:rPr>
          <w:rFonts w:ascii="Arial" w:hAnsi="Arial" w:cs="Arial"/>
          <w:b/>
          <w:color w:val="92D050"/>
          <w:lang w:val="en-GB"/>
        </w:rPr>
      </w:pPr>
      <w:r>
        <w:rPr>
          <w:rFonts w:ascii="Arial" w:hAnsi="Arial" w:cs="Arial"/>
          <w:b/>
          <w:color w:val="92D050"/>
          <w:lang w:val="en-GB"/>
        </w:rPr>
        <w:t>Vacation</w:t>
      </w:r>
    </w:p>
    <w:p w:rsidR="007A7269" w:rsidRPr="004123DE" w:rsidRDefault="005A6852" w:rsidP="007A7269">
      <w:pPr>
        <w:spacing w:after="0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Vacation is paid by means of salary compensation</w:t>
      </w:r>
      <w:r w:rsidR="007A7269" w:rsidRPr="004123DE">
        <w:rPr>
          <w:rFonts w:ascii="Arial" w:hAnsi="Arial" w:cs="Arial"/>
          <w:lang w:val="en-GB"/>
        </w:rPr>
        <w:t xml:space="preserve">. </w:t>
      </w:r>
      <w:r>
        <w:rPr>
          <w:rFonts w:ascii="Arial" w:hAnsi="Arial" w:cs="Arial"/>
          <w:lang w:val="en-GB"/>
        </w:rPr>
        <w:t>The salary compensation is calculated on the basis of the average earnings</w:t>
      </w:r>
      <w:r w:rsidR="007A7269" w:rsidRPr="004123DE">
        <w:rPr>
          <w:rFonts w:ascii="Arial" w:hAnsi="Arial" w:cs="Arial"/>
          <w:lang w:val="en-GB"/>
        </w:rPr>
        <w:t>.</w:t>
      </w:r>
      <w:r w:rsidR="00246CC6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The amount of average earnings is determined on the basis of the gross salary and the number of hours of work during the preceding calendar quarter</w:t>
      </w:r>
      <w:r w:rsidR="007A7269" w:rsidRPr="004123DE">
        <w:rPr>
          <w:rFonts w:ascii="Arial" w:hAnsi="Arial" w:cs="Arial"/>
          <w:lang w:val="en-GB"/>
        </w:rPr>
        <w:t>.</w:t>
      </w:r>
    </w:p>
    <w:p w:rsidR="007A7269" w:rsidRPr="004123DE" w:rsidRDefault="007A7269" w:rsidP="007A7269">
      <w:pPr>
        <w:spacing w:after="0"/>
        <w:jc w:val="both"/>
        <w:rPr>
          <w:rFonts w:ascii="Arial" w:hAnsi="Arial" w:cs="Arial"/>
          <w:lang w:val="en-GB"/>
        </w:rPr>
      </w:pPr>
    </w:p>
    <w:p w:rsidR="007A7269" w:rsidRPr="004123DE" w:rsidRDefault="004123DE" w:rsidP="007A7269">
      <w:pPr>
        <w:spacing w:after="0"/>
        <w:jc w:val="both"/>
        <w:rPr>
          <w:rFonts w:ascii="Arial" w:hAnsi="Arial" w:cs="Arial"/>
          <w:b/>
          <w:color w:val="92D050"/>
          <w:lang w:val="en-GB"/>
        </w:rPr>
      </w:pPr>
      <w:r>
        <w:rPr>
          <w:rFonts w:ascii="Arial" w:hAnsi="Arial" w:cs="Arial"/>
          <w:b/>
          <w:color w:val="92D050"/>
          <w:lang w:val="en-GB"/>
        </w:rPr>
        <w:t>Sickness benefits, compensations for sickness days</w:t>
      </w:r>
    </w:p>
    <w:p w:rsidR="00246CC6" w:rsidRPr="00246CC6" w:rsidRDefault="007A7269" w:rsidP="00246CC6">
      <w:pPr>
        <w:spacing w:after="0"/>
        <w:jc w:val="both"/>
        <w:rPr>
          <w:rFonts w:ascii="Arial" w:hAnsi="Arial" w:cs="Arial"/>
          <w:color w:val="FF0000"/>
        </w:rPr>
      </w:pPr>
      <w:r w:rsidRPr="004123DE">
        <w:rPr>
          <w:rFonts w:ascii="Arial" w:hAnsi="Arial" w:cs="Arial"/>
          <w:lang w:val="en-GB"/>
        </w:rPr>
        <w:t xml:space="preserve">- </w:t>
      </w:r>
      <w:r w:rsidR="005A6852">
        <w:rPr>
          <w:rFonts w:ascii="Arial" w:hAnsi="Arial" w:cs="Arial"/>
          <w:lang w:val="en-GB"/>
        </w:rPr>
        <w:t>Sickness</w:t>
      </w:r>
      <w:r w:rsidRPr="004123DE">
        <w:rPr>
          <w:rFonts w:ascii="Arial" w:hAnsi="Arial" w:cs="Arial"/>
          <w:lang w:val="en-GB"/>
        </w:rPr>
        <w:t xml:space="preserve"> </w:t>
      </w:r>
      <w:proofErr w:type="gramStart"/>
      <w:r w:rsidRPr="004123DE">
        <w:rPr>
          <w:rFonts w:ascii="Arial" w:hAnsi="Arial" w:cs="Arial"/>
          <w:lang w:val="en-GB"/>
        </w:rPr>
        <w:t xml:space="preserve">= </w:t>
      </w:r>
      <w:r w:rsidR="005A6852">
        <w:rPr>
          <w:rFonts w:ascii="Arial" w:hAnsi="Arial" w:cs="Arial"/>
          <w:lang w:val="en-GB"/>
        </w:rPr>
        <w:t xml:space="preserve"> paid</w:t>
      </w:r>
      <w:proofErr w:type="gramEnd"/>
      <w:r w:rsidR="005A6852">
        <w:rPr>
          <w:rFonts w:ascii="Arial" w:hAnsi="Arial" w:cs="Arial"/>
          <w:lang w:val="en-GB"/>
        </w:rPr>
        <w:t xml:space="preserve"> out by the employer starting from the </w:t>
      </w:r>
      <w:r w:rsidR="00986B47">
        <w:rPr>
          <w:rFonts w:ascii="Arial" w:hAnsi="Arial" w:cs="Arial"/>
          <w:lang w:val="en-GB"/>
        </w:rPr>
        <w:t>first</w:t>
      </w:r>
      <w:r w:rsidR="005A6852">
        <w:rPr>
          <w:rFonts w:ascii="Arial" w:hAnsi="Arial" w:cs="Arial"/>
          <w:lang w:val="en-GB"/>
        </w:rPr>
        <w:t xml:space="preserve"> day until the fourteenth day and since </w:t>
      </w:r>
      <w:r w:rsidR="005A6852" w:rsidRPr="0052520E">
        <w:rPr>
          <w:rFonts w:ascii="Arial" w:hAnsi="Arial" w:cs="Arial"/>
          <w:lang w:val="en-GB"/>
        </w:rPr>
        <w:t>the fifteenth day paid out by the Czech Social Security Administration Authority</w:t>
      </w:r>
      <w:r w:rsidRPr="0052520E">
        <w:rPr>
          <w:rFonts w:ascii="Arial" w:hAnsi="Arial" w:cs="Arial"/>
          <w:lang w:val="en-GB"/>
        </w:rPr>
        <w:t xml:space="preserve"> (ČSSZ)</w:t>
      </w:r>
      <w:r w:rsidR="00246CC6" w:rsidRPr="0052520E">
        <w:rPr>
          <w:rFonts w:ascii="Arial" w:hAnsi="Arial" w:cs="Arial"/>
          <w:lang w:val="en-GB"/>
        </w:rPr>
        <w:t xml:space="preserve">, is calculated from the reduced average earnings. </w:t>
      </w:r>
      <w:r w:rsidR="0052520E" w:rsidRPr="0052520E">
        <w:rPr>
          <w:rFonts w:ascii="Arial" w:hAnsi="Arial" w:cs="Arial"/>
        </w:rPr>
        <w:t>1</w:t>
      </w:r>
      <w:proofErr w:type="gramStart"/>
      <w:r w:rsidR="0052520E" w:rsidRPr="0052520E">
        <w:rPr>
          <w:rFonts w:ascii="Arial" w:hAnsi="Arial" w:cs="Arial"/>
          <w:vertAlign w:val="superscript"/>
        </w:rPr>
        <w:t>st</w:t>
      </w:r>
      <w:r w:rsidR="00986B47">
        <w:rPr>
          <w:rFonts w:ascii="Arial" w:hAnsi="Arial" w:cs="Arial"/>
          <w:vertAlign w:val="superscript"/>
        </w:rPr>
        <w:t xml:space="preserve">  </w:t>
      </w:r>
      <w:r w:rsidR="0052520E" w:rsidRPr="0052520E">
        <w:rPr>
          <w:rFonts w:ascii="Arial" w:hAnsi="Arial" w:cs="Arial"/>
        </w:rPr>
        <w:t>-</w:t>
      </w:r>
      <w:proofErr w:type="gramEnd"/>
      <w:r w:rsidR="0052520E" w:rsidRPr="0052520E">
        <w:rPr>
          <w:rFonts w:ascii="Arial" w:hAnsi="Arial" w:cs="Arial"/>
        </w:rPr>
        <w:t xml:space="preserve"> 30</w:t>
      </w:r>
      <w:r w:rsidR="0052520E" w:rsidRPr="0052520E">
        <w:rPr>
          <w:rFonts w:ascii="Arial" w:hAnsi="Arial" w:cs="Arial"/>
          <w:vertAlign w:val="superscript"/>
        </w:rPr>
        <w:t>th</w:t>
      </w:r>
      <w:r w:rsidR="0052520E" w:rsidRPr="0052520E">
        <w:rPr>
          <w:rFonts w:ascii="Arial" w:hAnsi="Arial" w:cs="Arial"/>
        </w:rPr>
        <w:t xml:space="preserve"> </w:t>
      </w:r>
      <w:proofErr w:type="spellStart"/>
      <w:r w:rsidR="00246CC6" w:rsidRPr="0052520E">
        <w:rPr>
          <w:rFonts w:ascii="Arial" w:hAnsi="Arial" w:cs="Arial"/>
        </w:rPr>
        <w:t>day</w:t>
      </w:r>
      <w:proofErr w:type="spellEnd"/>
      <w:r w:rsidR="0052520E" w:rsidRPr="0052520E">
        <w:rPr>
          <w:rFonts w:ascii="Arial" w:hAnsi="Arial" w:cs="Arial"/>
        </w:rPr>
        <w:t xml:space="preserve"> = 60%, 31</w:t>
      </w:r>
      <w:r w:rsidR="0052520E" w:rsidRPr="0052520E">
        <w:rPr>
          <w:rFonts w:ascii="Arial" w:hAnsi="Arial" w:cs="Arial"/>
          <w:vertAlign w:val="superscript"/>
        </w:rPr>
        <w:t>st</w:t>
      </w:r>
      <w:r w:rsidR="0052520E" w:rsidRPr="0052520E">
        <w:rPr>
          <w:rFonts w:ascii="Arial" w:hAnsi="Arial" w:cs="Arial"/>
        </w:rPr>
        <w:t xml:space="preserve"> – 60</w:t>
      </w:r>
      <w:r w:rsidR="0052520E" w:rsidRPr="0052520E">
        <w:rPr>
          <w:rFonts w:ascii="Arial" w:hAnsi="Arial" w:cs="Arial"/>
          <w:vertAlign w:val="superscript"/>
        </w:rPr>
        <w:t xml:space="preserve">th </w:t>
      </w:r>
      <w:proofErr w:type="spellStart"/>
      <w:r w:rsidR="00246CC6" w:rsidRPr="0052520E">
        <w:rPr>
          <w:rFonts w:ascii="Arial" w:hAnsi="Arial" w:cs="Arial"/>
        </w:rPr>
        <w:t>day</w:t>
      </w:r>
      <w:proofErr w:type="spellEnd"/>
      <w:r w:rsidR="00246CC6" w:rsidRPr="0052520E">
        <w:rPr>
          <w:rFonts w:ascii="Arial" w:hAnsi="Arial" w:cs="Arial"/>
        </w:rPr>
        <w:t xml:space="preserve"> = 66%, </w:t>
      </w:r>
      <w:proofErr w:type="spellStart"/>
      <w:r w:rsidR="00246CC6" w:rsidRPr="0052520E">
        <w:rPr>
          <w:rFonts w:ascii="Arial" w:hAnsi="Arial" w:cs="Arial"/>
        </w:rPr>
        <w:t>from</w:t>
      </w:r>
      <w:proofErr w:type="spellEnd"/>
      <w:r w:rsidR="0052520E" w:rsidRPr="0052520E">
        <w:rPr>
          <w:rFonts w:ascii="Arial" w:hAnsi="Arial" w:cs="Arial"/>
        </w:rPr>
        <w:t xml:space="preserve"> 61</w:t>
      </w:r>
      <w:r w:rsidR="0052520E" w:rsidRPr="0052520E">
        <w:rPr>
          <w:rFonts w:ascii="Arial" w:hAnsi="Arial" w:cs="Arial"/>
          <w:vertAlign w:val="superscript"/>
        </w:rPr>
        <w:t>st</w:t>
      </w:r>
      <w:r w:rsidR="0052520E" w:rsidRPr="0052520E">
        <w:rPr>
          <w:rFonts w:ascii="Arial" w:hAnsi="Arial" w:cs="Arial"/>
        </w:rPr>
        <w:t xml:space="preserve"> </w:t>
      </w:r>
      <w:proofErr w:type="spellStart"/>
      <w:r w:rsidR="00246CC6" w:rsidRPr="0052520E">
        <w:rPr>
          <w:rFonts w:ascii="Arial" w:hAnsi="Arial" w:cs="Arial"/>
        </w:rPr>
        <w:t>day</w:t>
      </w:r>
      <w:proofErr w:type="spellEnd"/>
      <w:r w:rsidR="00246CC6" w:rsidRPr="0052520E">
        <w:rPr>
          <w:rFonts w:ascii="Arial" w:hAnsi="Arial" w:cs="Arial"/>
        </w:rPr>
        <w:t xml:space="preserve"> = 72%.</w:t>
      </w:r>
    </w:p>
    <w:p w:rsidR="007A7269" w:rsidRPr="004123DE" w:rsidRDefault="007A7269" w:rsidP="007A7269">
      <w:pPr>
        <w:spacing w:after="0"/>
        <w:jc w:val="both"/>
        <w:rPr>
          <w:rFonts w:ascii="Arial" w:hAnsi="Arial" w:cs="Arial"/>
          <w:lang w:val="en-GB"/>
        </w:rPr>
      </w:pPr>
      <w:r w:rsidRPr="004123DE">
        <w:rPr>
          <w:rFonts w:ascii="Arial" w:hAnsi="Arial" w:cs="Arial"/>
          <w:lang w:val="en-GB"/>
        </w:rPr>
        <w:t xml:space="preserve">- </w:t>
      </w:r>
      <w:r w:rsidR="005A6852">
        <w:rPr>
          <w:rFonts w:ascii="Arial" w:hAnsi="Arial" w:cs="Arial"/>
          <w:lang w:val="en-GB"/>
        </w:rPr>
        <w:t xml:space="preserve">Statutory maternity pay </w:t>
      </w:r>
      <w:r w:rsidRPr="004123DE">
        <w:rPr>
          <w:rFonts w:ascii="Arial" w:hAnsi="Arial" w:cs="Arial"/>
          <w:lang w:val="en-GB"/>
        </w:rPr>
        <w:t xml:space="preserve">= 70% </w:t>
      </w:r>
      <w:r w:rsidR="005A6852">
        <w:rPr>
          <w:rFonts w:ascii="Arial" w:hAnsi="Arial" w:cs="Arial"/>
          <w:lang w:val="en-GB"/>
        </w:rPr>
        <w:t>of the reduced average earnings, paid for</w:t>
      </w:r>
      <w:r w:rsidRPr="004123DE">
        <w:rPr>
          <w:rFonts w:ascii="Arial" w:hAnsi="Arial" w:cs="Arial"/>
          <w:lang w:val="en-GB"/>
        </w:rPr>
        <w:t xml:space="preserve"> 196 </w:t>
      </w:r>
      <w:r w:rsidR="005A6852">
        <w:rPr>
          <w:rFonts w:ascii="Arial" w:hAnsi="Arial" w:cs="Arial"/>
          <w:lang w:val="en-GB"/>
        </w:rPr>
        <w:t>calendar days, paid out by the</w:t>
      </w:r>
      <w:r w:rsidRPr="004123DE">
        <w:rPr>
          <w:rFonts w:ascii="Arial" w:hAnsi="Arial" w:cs="Arial"/>
          <w:lang w:val="en-GB"/>
        </w:rPr>
        <w:t xml:space="preserve"> ČSSZ.</w:t>
      </w:r>
    </w:p>
    <w:p w:rsidR="007A7269" w:rsidRDefault="007A7269" w:rsidP="007A7269">
      <w:pPr>
        <w:spacing w:after="0"/>
        <w:jc w:val="both"/>
        <w:rPr>
          <w:rFonts w:ascii="Arial" w:hAnsi="Arial" w:cs="Arial"/>
          <w:lang w:val="en-GB"/>
        </w:rPr>
      </w:pPr>
      <w:r w:rsidRPr="004123DE">
        <w:rPr>
          <w:rFonts w:ascii="Arial" w:hAnsi="Arial" w:cs="Arial"/>
          <w:lang w:val="en-GB"/>
        </w:rPr>
        <w:t xml:space="preserve">- </w:t>
      </w:r>
      <w:r w:rsidR="005A6852">
        <w:rPr>
          <w:rFonts w:ascii="Arial" w:hAnsi="Arial" w:cs="Arial"/>
          <w:lang w:val="en-GB"/>
        </w:rPr>
        <w:t xml:space="preserve">Family </w:t>
      </w:r>
      <w:r w:rsidR="005D36AA">
        <w:rPr>
          <w:rFonts w:ascii="Arial" w:hAnsi="Arial" w:cs="Arial"/>
          <w:lang w:val="en-GB"/>
        </w:rPr>
        <w:t xml:space="preserve">caretaking </w:t>
      </w:r>
      <w:r w:rsidR="005A6852">
        <w:rPr>
          <w:rFonts w:ascii="Arial" w:hAnsi="Arial" w:cs="Arial"/>
          <w:lang w:val="en-GB"/>
        </w:rPr>
        <w:t xml:space="preserve">benefit </w:t>
      </w:r>
      <w:r w:rsidRPr="004123DE">
        <w:rPr>
          <w:rFonts w:ascii="Arial" w:hAnsi="Arial" w:cs="Arial"/>
          <w:lang w:val="en-GB"/>
        </w:rPr>
        <w:t xml:space="preserve">= 60% </w:t>
      </w:r>
      <w:r w:rsidR="005A6852">
        <w:rPr>
          <w:rFonts w:ascii="Arial" w:hAnsi="Arial" w:cs="Arial"/>
          <w:lang w:val="en-GB"/>
        </w:rPr>
        <w:t>of the reduced average earnings, paid for</w:t>
      </w:r>
      <w:r w:rsidR="005A6852" w:rsidRPr="004123DE">
        <w:rPr>
          <w:rFonts w:ascii="Arial" w:hAnsi="Arial" w:cs="Arial"/>
          <w:lang w:val="en-GB"/>
        </w:rPr>
        <w:t xml:space="preserve"> </w:t>
      </w:r>
      <w:r w:rsidR="005A6852">
        <w:rPr>
          <w:rFonts w:ascii="Arial" w:hAnsi="Arial" w:cs="Arial"/>
          <w:lang w:val="en-GB"/>
        </w:rPr>
        <w:t xml:space="preserve">the first </w:t>
      </w:r>
      <w:r w:rsidRPr="004123DE">
        <w:rPr>
          <w:rFonts w:ascii="Arial" w:hAnsi="Arial" w:cs="Arial"/>
          <w:lang w:val="en-GB"/>
        </w:rPr>
        <w:t>9 d</w:t>
      </w:r>
      <w:r w:rsidR="005A6852">
        <w:rPr>
          <w:rFonts w:ascii="Arial" w:hAnsi="Arial" w:cs="Arial"/>
          <w:lang w:val="en-GB"/>
        </w:rPr>
        <w:t>ays, paid out by the</w:t>
      </w:r>
      <w:r w:rsidRPr="004123DE">
        <w:rPr>
          <w:rFonts w:ascii="Arial" w:hAnsi="Arial" w:cs="Arial"/>
          <w:lang w:val="en-GB"/>
        </w:rPr>
        <w:t xml:space="preserve"> ČSSZ.</w:t>
      </w:r>
    </w:p>
    <w:p w:rsidR="00986B47" w:rsidRDefault="00100879" w:rsidP="007A7269">
      <w:pPr>
        <w:spacing w:after="0"/>
        <w:jc w:val="both"/>
        <w:rPr>
          <w:rFonts w:ascii="Arial" w:hAnsi="Arial" w:cs="Arial"/>
          <w:lang w:val="en-GB"/>
        </w:rPr>
      </w:pPr>
      <w:r w:rsidRPr="0052520E">
        <w:rPr>
          <w:rFonts w:ascii="Arial" w:hAnsi="Arial" w:cs="Arial"/>
          <w:lang w:val="en-GB"/>
        </w:rPr>
        <w:t xml:space="preserve">- </w:t>
      </w:r>
      <w:r w:rsidR="0052520E" w:rsidRPr="0052520E">
        <w:rPr>
          <w:rFonts w:ascii="Arial" w:hAnsi="Arial" w:cs="Arial"/>
          <w:lang w:val="en-GB"/>
        </w:rPr>
        <w:t>Long-term Family Caretaking Benefit</w:t>
      </w:r>
      <w:r w:rsidR="0052520E" w:rsidRPr="004123DE">
        <w:rPr>
          <w:rFonts w:ascii="Arial" w:hAnsi="Arial" w:cs="Arial"/>
          <w:lang w:val="en-GB"/>
        </w:rPr>
        <w:t xml:space="preserve"> </w:t>
      </w:r>
      <w:r w:rsidRPr="004123DE">
        <w:rPr>
          <w:rFonts w:ascii="Arial" w:hAnsi="Arial" w:cs="Arial"/>
          <w:lang w:val="en-GB"/>
        </w:rPr>
        <w:t xml:space="preserve">= 60% </w:t>
      </w:r>
      <w:r>
        <w:rPr>
          <w:rFonts w:ascii="Arial" w:hAnsi="Arial" w:cs="Arial"/>
          <w:lang w:val="en-GB"/>
        </w:rPr>
        <w:t>of the reduced average earnings, paid for</w:t>
      </w:r>
      <w:r w:rsidRPr="004123DE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the 90</w:t>
      </w:r>
      <w:r w:rsidRPr="004123DE">
        <w:rPr>
          <w:rFonts w:ascii="Arial" w:hAnsi="Arial" w:cs="Arial"/>
          <w:lang w:val="en-GB"/>
        </w:rPr>
        <w:t xml:space="preserve"> d</w:t>
      </w:r>
      <w:r>
        <w:rPr>
          <w:rFonts w:ascii="Arial" w:hAnsi="Arial" w:cs="Arial"/>
          <w:lang w:val="en-GB"/>
        </w:rPr>
        <w:t>ays, paid out by the</w:t>
      </w:r>
      <w:r w:rsidRPr="004123DE">
        <w:rPr>
          <w:rFonts w:ascii="Arial" w:hAnsi="Arial" w:cs="Arial"/>
          <w:lang w:val="en-GB"/>
        </w:rPr>
        <w:t xml:space="preserve"> ČSSZ.</w:t>
      </w:r>
    </w:p>
    <w:p w:rsidR="007A7269" w:rsidRPr="004123DE" w:rsidRDefault="007D34FF" w:rsidP="007A7269">
      <w:pPr>
        <w:spacing w:after="0"/>
        <w:jc w:val="both"/>
        <w:rPr>
          <w:rFonts w:ascii="Arial" w:hAnsi="Arial" w:cs="Arial"/>
          <w:b/>
          <w:color w:val="92D050"/>
          <w:lang w:val="en-GB"/>
        </w:rPr>
      </w:pPr>
      <w:r>
        <w:rPr>
          <w:rFonts w:ascii="Arial" w:hAnsi="Arial" w:cs="Arial"/>
          <w:lang w:val="en-GB"/>
        </w:rPr>
        <w:t xml:space="preserve">- Paternity benefit = 70% of the reduced average earnings, paid for </w:t>
      </w:r>
      <w:r w:rsidR="00CF3158">
        <w:rPr>
          <w:rFonts w:ascii="Arial" w:hAnsi="Arial" w:cs="Arial"/>
          <w:lang w:val="en-GB"/>
        </w:rPr>
        <w:t>14</w:t>
      </w:r>
      <w:r>
        <w:rPr>
          <w:rFonts w:ascii="Arial" w:hAnsi="Arial" w:cs="Arial"/>
          <w:lang w:val="en-GB"/>
        </w:rPr>
        <w:t xml:space="preserve"> days </w:t>
      </w:r>
      <w:r w:rsidR="00A813A8">
        <w:rPr>
          <w:rFonts w:ascii="Arial" w:hAnsi="Arial" w:cs="Arial"/>
          <w:lang w:val="en-GB"/>
        </w:rPr>
        <w:t>during</w:t>
      </w:r>
      <w:r>
        <w:rPr>
          <w:rFonts w:ascii="Arial" w:hAnsi="Arial" w:cs="Arial"/>
          <w:lang w:val="en-GB"/>
        </w:rPr>
        <w:t xml:space="preserve"> the first 6 weeks after </w:t>
      </w:r>
      <w:r w:rsidR="00A813A8">
        <w:rPr>
          <w:rFonts w:ascii="Arial" w:hAnsi="Arial" w:cs="Arial"/>
          <w:lang w:val="en-GB"/>
        </w:rPr>
        <w:t>the birth of the child, paid out by the</w:t>
      </w:r>
      <w:r w:rsidR="00A813A8" w:rsidRPr="004123DE">
        <w:rPr>
          <w:rFonts w:ascii="Arial" w:hAnsi="Arial" w:cs="Arial"/>
          <w:lang w:val="en-GB"/>
        </w:rPr>
        <w:t xml:space="preserve"> ČSSZ</w:t>
      </w:r>
      <w:r w:rsidR="00A813A8">
        <w:rPr>
          <w:rFonts w:ascii="Arial" w:hAnsi="Arial" w:cs="Arial"/>
          <w:lang w:val="en-GB"/>
        </w:rPr>
        <w:t>.</w:t>
      </w:r>
    </w:p>
    <w:sectPr w:rsidR="007A7269" w:rsidRPr="004123DE" w:rsidSect="00986B47">
      <w:footerReference w:type="default" r:id="rId8"/>
      <w:headerReference w:type="first" r:id="rId9"/>
      <w:footerReference w:type="first" r:id="rId10"/>
      <w:pgSz w:w="11906" w:h="16838" w:code="9"/>
      <w:pgMar w:top="1701" w:right="1701" w:bottom="2268" w:left="1701" w:header="0" w:footer="0" w:gutter="0"/>
      <w:cols w:space="708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6CBC" w:rsidRDefault="00D46CBC">
      <w:pPr>
        <w:spacing w:after="0" w:line="240" w:lineRule="auto"/>
      </w:pPr>
      <w:r>
        <w:separator/>
      </w:r>
    </w:p>
  </w:endnote>
  <w:endnote w:type="continuationSeparator" w:id="0">
    <w:p w:rsidR="00D46CBC" w:rsidRDefault="00D46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17FA" w:rsidRPr="00CC2597" w:rsidRDefault="00AE17FA" w:rsidP="00AE17FA">
    <w:pPr>
      <w:pStyle w:val="Zpat-univerzita4dkyadresy"/>
    </w:pPr>
    <w:r>
      <w:rPr>
        <w:noProof/>
        <w:lang w:eastAsia="cs-CZ"/>
      </w:rPr>
      <w:drawing>
        <wp:anchor distT="0" distB="0" distL="114300" distR="114300" simplePos="0" relativeHeight="251669504" behindDoc="1" locked="1" layoutInCell="1" allowOverlap="1" wp14:anchorId="3E04057F" wp14:editId="3B53A809">
          <wp:simplePos x="0" y="0"/>
          <wp:positionH relativeFrom="margin">
            <wp:posOffset>3773805</wp:posOffset>
          </wp:positionH>
          <wp:positionV relativeFrom="topMargin">
            <wp:posOffset>9984105</wp:posOffset>
          </wp:positionV>
          <wp:extent cx="1615440" cy="225425"/>
          <wp:effectExtent l="0" t="0" r="0" b="3175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_law_cmyk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5440" cy="225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D1F84">
      <w:t>M</w:t>
    </w:r>
    <w:r w:rsidRPr="00D4417E">
      <w:t xml:space="preserve">asarykova univerzita, </w:t>
    </w:r>
    <w:r w:rsidRPr="00BE31C0">
      <w:t>Středoevropský technologický institut</w:t>
    </w:r>
  </w:p>
  <w:p w:rsidR="00AE17FA" w:rsidRPr="00CC2597" w:rsidRDefault="00AE17FA" w:rsidP="00AE17FA">
    <w:pPr>
      <w:pStyle w:val="Zpat"/>
      <w:rPr>
        <w:rFonts w:cs="Arial"/>
        <w:sz w:val="16"/>
        <w:szCs w:val="16"/>
      </w:rPr>
    </w:pPr>
  </w:p>
  <w:p w:rsidR="00AE17FA" w:rsidRPr="005F370A" w:rsidRDefault="00AE17FA" w:rsidP="00AE17FA">
    <w:pPr>
      <w:pStyle w:val="Zpat"/>
      <w:rPr>
        <w:rFonts w:cs="Arial"/>
        <w:szCs w:val="14"/>
      </w:rPr>
    </w:pPr>
    <w:r w:rsidRPr="005F370A">
      <w:rPr>
        <w:rFonts w:cs="Arial"/>
        <w:szCs w:val="14"/>
      </w:rPr>
      <w:t xml:space="preserve">Kamenice 735/5, 625 00 Brno, Česká republika </w:t>
    </w:r>
  </w:p>
  <w:p w:rsidR="00AE17FA" w:rsidRPr="005F370A" w:rsidRDefault="00AE17FA" w:rsidP="00AE17FA">
    <w:pPr>
      <w:pStyle w:val="Zpat"/>
      <w:rPr>
        <w:rFonts w:cs="Arial"/>
        <w:szCs w:val="14"/>
      </w:rPr>
    </w:pPr>
    <w:r w:rsidRPr="005F370A">
      <w:rPr>
        <w:rFonts w:cs="Arial"/>
        <w:szCs w:val="14"/>
      </w:rPr>
      <w:t>T: +420 549 49 2911, 6639, E: info@ceitec.muni.cz, www.ceitec.muni.cz</w:t>
    </w:r>
  </w:p>
  <w:p w:rsidR="00AE17FA" w:rsidRPr="005D1F84" w:rsidRDefault="00AE17FA" w:rsidP="00AE17FA">
    <w:pPr>
      <w:pStyle w:val="Zpat"/>
      <w:rPr>
        <w:rFonts w:cs="Arial"/>
        <w:szCs w:val="14"/>
      </w:rPr>
    </w:pPr>
    <w:r w:rsidRPr="005F370A">
      <w:rPr>
        <w:rFonts w:cs="Arial"/>
        <w:szCs w:val="14"/>
      </w:rPr>
      <w:t>Bankovní spojení: KB Brno-město, ČÚ: 85636621/0100, IČ: 00216224, DIČ: CZ00216224</w:t>
    </w:r>
  </w:p>
  <w:p w:rsidR="00B5176D" w:rsidRPr="00AE17FA" w:rsidRDefault="001E2CA9" w:rsidP="00AE17FA">
    <w:pPr>
      <w:pStyle w:val="Zpatsslovnmstrnky"/>
    </w:pPr>
    <w:r>
      <w:fldChar w:fldCharType="begin"/>
    </w:r>
    <w:r w:rsidR="00AE17FA">
      <w:instrText>PAGE   \* MERGEFORMAT</w:instrText>
    </w:r>
    <w:r>
      <w:fldChar w:fldCharType="separate"/>
    </w:r>
    <w:r w:rsidR="00B94011">
      <w:rPr>
        <w:noProof/>
      </w:rPr>
      <w:t>2</w:t>
    </w:r>
    <w:r>
      <w:fldChar w:fldCharType="end"/>
    </w:r>
    <w:r w:rsidR="00AE17FA">
      <w:t>/</w:t>
    </w:r>
    <w:r w:rsidR="00782244">
      <w:rPr>
        <w:noProof/>
      </w:rPr>
      <w:fldChar w:fldCharType="begin"/>
    </w:r>
    <w:r w:rsidR="00782244">
      <w:rPr>
        <w:noProof/>
      </w:rPr>
      <w:instrText xml:space="preserve"> SECTIONPAGES   \* MERGEFORMAT </w:instrText>
    </w:r>
    <w:r w:rsidR="00782244">
      <w:rPr>
        <w:noProof/>
      </w:rPr>
      <w:fldChar w:fldCharType="separate"/>
    </w:r>
    <w:r w:rsidR="00D55628">
      <w:rPr>
        <w:noProof/>
      </w:rPr>
      <w:t>2</w:t>
    </w:r>
    <w:r w:rsidR="00782244">
      <w:rPr>
        <w:noProof/>
      </w:rPr>
      <w:fldChar w:fldCharType="end"/>
    </w:r>
    <w:r w:rsidR="00AE17FA">
      <w:tab/>
    </w:r>
    <w:r w:rsidR="00AE17FA" w:rsidRPr="005D1F84">
      <w:t>V odpovědi prosím uvádějte naše číslo jednací.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08A7" w:rsidRPr="00AE17FA" w:rsidRDefault="001E2CA9" w:rsidP="00AE17FA">
    <w:pPr>
      <w:pStyle w:val="Zpatsslovnmstrnky"/>
    </w:pPr>
    <w:r>
      <w:fldChar w:fldCharType="begin"/>
    </w:r>
    <w:r w:rsidR="00AE17FA">
      <w:instrText>PAGE   \* MERGEFORMAT</w:instrText>
    </w:r>
    <w:r>
      <w:fldChar w:fldCharType="separate"/>
    </w:r>
    <w:r w:rsidR="001026DB">
      <w:rPr>
        <w:noProof/>
      </w:rPr>
      <w:t>1</w:t>
    </w:r>
    <w:r>
      <w:fldChar w:fldCharType="end"/>
    </w:r>
    <w:r w:rsidR="00AE17FA">
      <w:t>/</w:t>
    </w:r>
    <w:r w:rsidR="00782244">
      <w:rPr>
        <w:noProof/>
      </w:rPr>
      <w:fldChar w:fldCharType="begin"/>
    </w:r>
    <w:r w:rsidR="00782244">
      <w:rPr>
        <w:noProof/>
      </w:rPr>
      <w:instrText xml:space="preserve"> SECTIONPAGES   \* MERGEFORMAT </w:instrText>
    </w:r>
    <w:r w:rsidR="00782244">
      <w:rPr>
        <w:noProof/>
      </w:rPr>
      <w:fldChar w:fldCharType="separate"/>
    </w:r>
    <w:r w:rsidR="0088259F">
      <w:rPr>
        <w:noProof/>
      </w:rPr>
      <w:t>1</w:t>
    </w:r>
    <w:r w:rsidR="00782244">
      <w:rPr>
        <w:noProof/>
      </w:rPr>
      <w:fldChar w:fldCharType="end"/>
    </w:r>
    <w:r w:rsidR="00AE17FA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6CBC" w:rsidRDefault="00D46CBC">
      <w:pPr>
        <w:spacing w:after="0" w:line="240" w:lineRule="auto"/>
      </w:pPr>
      <w:r>
        <w:separator/>
      </w:r>
    </w:p>
  </w:footnote>
  <w:footnote w:type="continuationSeparator" w:id="0">
    <w:p w:rsidR="00D46CBC" w:rsidRDefault="00D46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13DF" w:rsidRPr="00DD6D6F" w:rsidRDefault="0017259C" w:rsidP="00DD6D6F">
    <w:pPr>
      <w:pStyle w:val="Zhlav"/>
      <w:jc w:val="right"/>
      <w:rPr>
        <w:color w:val="FF0000"/>
      </w:rPr>
    </w:pPr>
    <w:r w:rsidRPr="00DD6D6F">
      <w:rPr>
        <w:color w:val="FF0000"/>
      </w:rPr>
      <w:ptab w:relativeTo="margin" w:alignment="center" w:leader="none"/>
    </w:r>
  </w:p>
  <w:p w:rsidR="0017259C" w:rsidRDefault="0017259C">
    <w:pPr>
      <w:pStyle w:val="Zhlav"/>
    </w:pPr>
  </w:p>
  <w:p w:rsidR="0017259C" w:rsidRDefault="0017259C">
    <w:pPr>
      <w:pStyle w:val="Zhlav"/>
    </w:pPr>
  </w:p>
  <w:p w:rsidR="0017259C" w:rsidRDefault="0017259C">
    <w:pPr>
      <w:pStyle w:val="Zhlav"/>
    </w:pPr>
  </w:p>
  <w:p w:rsidR="0017259C" w:rsidRPr="00DD6D6F" w:rsidRDefault="0017259C">
    <w:pPr>
      <w:pStyle w:val="Zhlav"/>
      <w:rPr>
        <w:color w:val="FF0000"/>
      </w:rPr>
    </w:pPr>
  </w:p>
  <w:p w:rsidR="0017259C" w:rsidRDefault="0017259C">
    <w:pPr>
      <w:pStyle w:val="Zhlav"/>
    </w:pPr>
  </w:p>
  <w:p w:rsidR="0017259C" w:rsidRDefault="0017259C">
    <w:pPr>
      <w:pStyle w:val="Zhlav"/>
    </w:pPr>
  </w:p>
  <w:p w:rsidR="0017259C" w:rsidRDefault="0017259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3D4C45"/>
    <w:multiLevelType w:val="hybridMultilevel"/>
    <w:tmpl w:val="5FC6A7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C25B05"/>
    <w:multiLevelType w:val="hybridMultilevel"/>
    <w:tmpl w:val="30FEE2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B54498"/>
    <w:multiLevelType w:val="hybridMultilevel"/>
    <w:tmpl w:val="856E3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C72E85"/>
    <w:multiLevelType w:val="hybridMultilevel"/>
    <w:tmpl w:val="C082E770"/>
    <w:lvl w:ilvl="0" w:tplc="67B61E38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E3MDeyNLU0sDSyMDdQ0lEKTi0uzszPAykwrwUAOqxjOywAAAA="/>
  </w:docVars>
  <w:rsids>
    <w:rsidRoot w:val="00211F80"/>
    <w:rsid w:val="00006EF2"/>
    <w:rsid w:val="0000757D"/>
    <w:rsid w:val="00042835"/>
    <w:rsid w:val="0004669D"/>
    <w:rsid w:val="00047313"/>
    <w:rsid w:val="00047BBD"/>
    <w:rsid w:val="000502B5"/>
    <w:rsid w:val="00097D2C"/>
    <w:rsid w:val="000A5AD7"/>
    <w:rsid w:val="000B21DD"/>
    <w:rsid w:val="00100879"/>
    <w:rsid w:val="001026DB"/>
    <w:rsid w:val="00151C68"/>
    <w:rsid w:val="0017259C"/>
    <w:rsid w:val="001846A7"/>
    <w:rsid w:val="001A7E64"/>
    <w:rsid w:val="001C218C"/>
    <w:rsid w:val="001E2CA9"/>
    <w:rsid w:val="00211F80"/>
    <w:rsid w:val="00227BC5"/>
    <w:rsid w:val="00246CC6"/>
    <w:rsid w:val="00247E5F"/>
    <w:rsid w:val="002723FB"/>
    <w:rsid w:val="002765A5"/>
    <w:rsid w:val="0029208E"/>
    <w:rsid w:val="002B6D09"/>
    <w:rsid w:val="002C33A9"/>
    <w:rsid w:val="002D200F"/>
    <w:rsid w:val="002D4FFE"/>
    <w:rsid w:val="002F08A7"/>
    <w:rsid w:val="00304F72"/>
    <w:rsid w:val="00310D63"/>
    <w:rsid w:val="00320DF0"/>
    <w:rsid w:val="00332338"/>
    <w:rsid w:val="003372C7"/>
    <w:rsid w:val="00340543"/>
    <w:rsid w:val="0036682E"/>
    <w:rsid w:val="003B1ECA"/>
    <w:rsid w:val="003C2B73"/>
    <w:rsid w:val="003C3571"/>
    <w:rsid w:val="003F6349"/>
    <w:rsid w:val="004067DE"/>
    <w:rsid w:val="004123DE"/>
    <w:rsid w:val="00434DBB"/>
    <w:rsid w:val="00490C89"/>
    <w:rsid w:val="004A22C2"/>
    <w:rsid w:val="004B0B3E"/>
    <w:rsid w:val="004D2A8A"/>
    <w:rsid w:val="005146EF"/>
    <w:rsid w:val="0052520E"/>
    <w:rsid w:val="0053460D"/>
    <w:rsid w:val="0054753C"/>
    <w:rsid w:val="005531FF"/>
    <w:rsid w:val="005737F7"/>
    <w:rsid w:val="00582DFC"/>
    <w:rsid w:val="005A6852"/>
    <w:rsid w:val="005C1BC3"/>
    <w:rsid w:val="005D36AA"/>
    <w:rsid w:val="0060262E"/>
    <w:rsid w:val="0061118F"/>
    <w:rsid w:val="00611EAC"/>
    <w:rsid w:val="006127A5"/>
    <w:rsid w:val="00616507"/>
    <w:rsid w:val="0067390A"/>
    <w:rsid w:val="0067549B"/>
    <w:rsid w:val="00690DAC"/>
    <w:rsid w:val="006B4AAF"/>
    <w:rsid w:val="006D43BC"/>
    <w:rsid w:val="006E1BDA"/>
    <w:rsid w:val="00700BDD"/>
    <w:rsid w:val="007200B9"/>
    <w:rsid w:val="00721AA4"/>
    <w:rsid w:val="00722871"/>
    <w:rsid w:val="0073428B"/>
    <w:rsid w:val="007442DB"/>
    <w:rsid w:val="00750E0A"/>
    <w:rsid w:val="00753902"/>
    <w:rsid w:val="00756259"/>
    <w:rsid w:val="007728E3"/>
    <w:rsid w:val="00782244"/>
    <w:rsid w:val="00790002"/>
    <w:rsid w:val="0079758E"/>
    <w:rsid w:val="007A7269"/>
    <w:rsid w:val="007B16D6"/>
    <w:rsid w:val="007C738C"/>
    <w:rsid w:val="007D34FF"/>
    <w:rsid w:val="007D43D4"/>
    <w:rsid w:val="007D77E7"/>
    <w:rsid w:val="007E3532"/>
    <w:rsid w:val="007E4982"/>
    <w:rsid w:val="00806429"/>
    <w:rsid w:val="00824279"/>
    <w:rsid w:val="008300B3"/>
    <w:rsid w:val="008360A0"/>
    <w:rsid w:val="008626A9"/>
    <w:rsid w:val="00864D69"/>
    <w:rsid w:val="008653B5"/>
    <w:rsid w:val="00870192"/>
    <w:rsid w:val="008758CC"/>
    <w:rsid w:val="0088259F"/>
    <w:rsid w:val="008B63F2"/>
    <w:rsid w:val="008E1370"/>
    <w:rsid w:val="00914B4E"/>
    <w:rsid w:val="00926657"/>
    <w:rsid w:val="00986B47"/>
    <w:rsid w:val="009929DF"/>
    <w:rsid w:val="00993F65"/>
    <w:rsid w:val="009A6A8A"/>
    <w:rsid w:val="009B6338"/>
    <w:rsid w:val="009C7A14"/>
    <w:rsid w:val="009D1253"/>
    <w:rsid w:val="009E1F4D"/>
    <w:rsid w:val="00A10E54"/>
    <w:rsid w:val="00A14774"/>
    <w:rsid w:val="00A63644"/>
    <w:rsid w:val="00A813A8"/>
    <w:rsid w:val="00AB48B3"/>
    <w:rsid w:val="00AC0F70"/>
    <w:rsid w:val="00AC2D36"/>
    <w:rsid w:val="00AE17FA"/>
    <w:rsid w:val="00AE7853"/>
    <w:rsid w:val="00B010FB"/>
    <w:rsid w:val="00B43F1E"/>
    <w:rsid w:val="00B5176D"/>
    <w:rsid w:val="00B94011"/>
    <w:rsid w:val="00BA0475"/>
    <w:rsid w:val="00BC4B55"/>
    <w:rsid w:val="00BC4FE2"/>
    <w:rsid w:val="00BC7DC1"/>
    <w:rsid w:val="00C20847"/>
    <w:rsid w:val="00C4497A"/>
    <w:rsid w:val="00C45DB5"/>
    <w:rsid w:val="00CA4E5F"/>
    <w:rsid w:val="00CB30E2"/>
    <w:rsid w:val="00CC2597"/>
    <w:rsid w:val="00CD2577"/>
    <w:rsid w:val="00CD5E84"/>
    <w:rsid w:val="00CE5D2D"/>
    <w:rsid w:val="00CF3158"/>
    <w:rsid w:val="00D45579"/>
    <w:rsid w:val="00D46CBC"/>
    <w:rsid w:val="00D47639"/>
    <w:rsid w:val="00D55628"/>
    <w:rsid w:val="00D65140"/>
    <w:rsid w:val="00D7207D"/>
    <w:rsid w:val="00DC063A"/>
    <w:rsid w:val="00DD6D6F"/>
    <w:rsid w:val="00DF13DF"/>
    <w:rsid w:val="00E05F2B"/>
    <w:rsid w:val="00E77D73"/>
    <w:rsid w:val="00E80B73"/>
    <w:rsid w:val="00E92C6F"/>
    <w:rsid w:val="00E93A65"/>
    <w:rsid w:val="00EA1FAE"/>
    <w:rsid w:val="00EC3702"/>
    <w:rsid w:val="00EC70A0"/>
    <w:rsid w:val="00ED2CCC"/>
    <w:rsid w:val="00EF1356"/>
    <w:rsid w:val="00F02027"/>
    <w:rsid w:val="00F038F6"/>
    <w:rsid w:val="00F06ED2"/>
    <w:rsid w:val="00F32999"/>
    <w:rsid w:val="00F50670"/>
    <w:rsid w:val="00F608F7"/>
    <w:rsid w:val="00F73CE0"/>
    <w:rsid w:val="00F86E6C"/>
    <w:rsid w:val="00F870DB"/>
    <w:rsid w:val="00FB0130"/>
    <w:rsid w:val="00FC52CA"/>
    <w:rsid w:val="00FD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ED644FD"/>
  <w15:docId w15:val="{51DC314F-4851-4949-B12C-5F4D989C3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93F65"/>
    <w:pPr>
      <w:spacing w:after="454"/>
    </w:pPr>
    <w:rPr>
      <w:rFonts w:ascii="Times New Roman" w:hAnsi="Times New Roman"/>
    </w:rPr>
  </w:style>
  <w:style w:type="paragraph" w:styleId="Nadpis1">
    <w:name w:val="heading 1"/>
    <w:basedOn w:val="Nadpis"/>
    <w:pPr>
      <w:outlineLvl w:val="0"/>
    </w:pPr>
  </w:style>
  <w:style w:type="paragraph" w:styleId="Nadpis2">
    <w:name w:val="heading 2"/>
    <w:basedOn w:val="Nadpis"/>
    <w:pPr>
      <w:outlineLvl w:val="1"/>
    </w:pPr>
  </w:style>
  <w:style w:type="paragraph" w:styleId="Nadpis3">
    <w:name w:val="heading 3"/>
    <w:basedOn w:val="Nadpis"/>
    <w:pPr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E618F6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0F45EA"/>
    <w:rPr>
      <w:rFonts w:ascii="Times New Roman" w:hAnsi="Times New Roman"/>
    </w:rPr>
  </w:style>
  <w:style w:type="character" w:customStyle="1" w:styleId="ZpatChar">
    <w:name w:val="Zápatí Char"/>
    <w:basedOn w:val="Standardnpsmoodstavce"/>
    <w:link w:val="Zpat"/>
    <w:uiPriority w:val="99"/>
    <w:qFormat/>
    <w:rsid w:val="00227BC5"/>
    <w:rPr>
      <w:rFonts w:ascii="Arial" w:hAnsi="Arial"/>
      <w:color w:val="094F8F"/>
      <w:sz w:val="14"/>
    </w:rPr>
  </w:style>
  <w:style w:type="character" w:customStyle="1" w:styleId="Internetovodkaz">
    <w:name w:val="Internetový odkaz"/>
    <w:basedOn w:val="Standardnpsmoodstavce"/>
    <w:uiPriority w:val="99"/>
    <w:unhideWhenUsed/>
    <w:rsid w:val="00F107BA"/>
    <w:rPr>
      <w:color w:val="00000A"/>
      <w:u w:val="none"/>
    </w:rPr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E618F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F45EA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227BC5"/>
    <w:pPr>
      <w:tabs>
        <w:tab w:val="center" w:pos="4536"/>
        <w:tab w:val="right" w:pos="9072"/>
      </w:tabs>
      <w:spacing w:after="0" w:line="180" w:lineRule="exact"/>
    </w:pPr>
    <w:rPr>
      <w:rFonts w:ascii="Arial" w:hAnsi="Arial"/>
      <w:color w:val="094F8F"/>
      <w:sz w:val="14"/>
    </w:rPr>
  </w:style>
  <w:style w:type="paragraph" w:customStyle="1" w:styleId="Quotations">
    <w:name w:val="Quotations"/>
    <w:basedOn w:val="Normln"/>
    <w:qFormat/>
  </w:style>
  <w:style w:type="paragraph" w:styleId="Nzev">
    <w:name w:val="Title"/>
    <w:basedOn w:val="Nadpis"/>
  </w:style>
  <w:style w:type="paragraph" w:styleId="Podnadpis">
    <w:name w:val="Subtitle"/>
    <w:basedOn w:val="Nadpis"/>
  </w:style>
  <w:style w:type="paragraph" w:customStyle="1" w:styleId="Adresa">
    <w:name w:val="Adresa"/>
    <w:qFormat/>
    <w:rsid w:val="0079758E"/>
    <w:pPr>
      <w:ind w:left="4706"/>
    </w:pPr>
    <w:rPr>
      <w:rFonts w:ascii="Times New Roman" w:hAnsi="Times New Roman"/>
    </w:rPr>
  </w:style>
  <w:style w:type="paragraph" w:customStyle="1" w:styleId="Vc">
    <w:name w:val="Věc"/>
    <w:qFormat/>
    <w:rsid w:val="00F50670"/>
    <w:pPr>
      <w:tabs>
        <w:tab w:val="left" w:pos="1985"/>
        <w:tab w:val="left" w:pos="4706"/>
        <w:tab w:val="left" w:pos="6804"/>
      </w:tabs>
    </w:pPr>
    <w:rPr>
      <w:rFonts w:ascii="Arial" w:hAnsi="Arial"/>
      <w:color w:val="000000" w:themeColor="text1"/>
      <w:sz w:val="14"/>
    </w:rPr>
  </w:style>
  <w:style w:type="character" w:styleId="Hypertextovodkaz">
    <w:name w:val="Hyperlink"/>
    <w:basedOn w:val="Standardnpsmoodstavce"/>
    <w:uiPriority w:val="99"/>
    <w:unhideWhenUsed/>
    <w:rsid w:val="00EF1356"/>
    <w:rPr>
      <w:color w:val="0000FF" w:themeColor="hyperlink"/>
      <w:u w:val="single"/>
    </w:rPr>
  </w:style>
  <w:style w:type="paragraph" w:customStyle="1" w:styleId="Vcdopisu">
    <w:name w:val="Věc dopisu"/>
    <w:qFormat/>
    <w:rsid w:val="0079758E"/>
    <w:pPr>
      <w:spacing w:before="737" w:after="737"/>
    </w:pPr>
    <w:rPr>
      <w:rFonts w:ascii="Times New Roman" w:hAnsi="Times New Roman"/>
      <w:b/>
      <w:sz w:val="24"/>
    </w:rPr>
  </w:style>
  <w:style w:type="paragraph" w:styleId="Normlnweb">
    <w:name w:val="Normal (Web)"/>
    <w:basedOn w:val="Normln"/>
    <w:uiPriority w:val="99"/>
    <w:semiHidden/>
    <w:unhideWhenUsed/>
    <w:rsid w:val="004067D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cs-CZ"/>
    </w:rPr>
  </w:style>
  <w:style w:type="paragraph" w:customStyle="1" w:styleId="JmnoPjmen">
    <w:name w:val="Jméno Příjmení"/>
    <w:qFormat/>
    <w:rsid w:val="00AC2D36"/>
    <w:rPr>
      <w:rFonts w:ascii="Times New Roman" w:hAnsi="Times New Roman"/>
      <w:b/>
    </w:rPr>
  </w:style>
  <w:style w:type="paragraph" w:customStyle="1" w:styleId="Funkce">
    <w:name w:val="Funkce"/>
    <w:basedOn w:val="JmnoPjmen"/>
    <w:qFormat/>
    <w:rsid w:val="00AC2D36"/>
    <w:rPr>
      <w:b w:val="0"/>
    </w:rPr>
  </w:style>
  <w:style w:type="paragraph" w:customStyle="1" w:styleId="Zpat-univerzita">
    <w:name w:val="Zápatí - univerzita"/>
    <w:aliases w:val="fakulta"/>
    <w:basedOn w:val="Zpat"/>
    <w:qFormat/>
    <w:rsid w:val="00B5176D"/>
    <w:rPr>
      <w:b/>
      <w:sz w:val="16"/>
    </w:rPr>
  </w:style>
  <w:style w:type="paragraph" w:customStyle="1" w:styleId="Zpatsslovnmstrnky">
    <w:name w:val="Zápatí s číslováním stránky"/>
    <w:basedOn w:val="Zpat"/>
    <w:qFormat/>
    <w:rsid w:val="00DF13DF"/>
    <w:pPr>
      <w:tabs>
        <w:tab w:val="clear" w:pos="4536"/>
        <w:tab w:val="clear" w:pos="9072"/>
        <w:tab w:val="left" w:pos="0"/>
      </w:tabs>
      <w:ind w:left="-907"/>
    </w:pPr>
    <w:rPr>
      <w:rFonts w:cs="Arial"/>
      <w:szCs w:val="14"/>
    </w:rPr>
  </w:style>
  <w:style w:type="paragraph" w:customStyle="1" w:styleId="Zpat-univerzita4dkyadresy">
    <w:name w:val="Zápatí - univerzita (4 řádky adresy)"/>
    <w:basedOn w:val="Zpat-univerzita"/>
    <w:next w:val="Zpat"/>
    <w:qFormat/>
    <w:rsid w:val="001C218C"/>
    <w:rPr>
      <w:rFonts w:cs="Arial"/>
      <w:szCs w:val="16"/>
    </w:rPr>
  </w:style>
  <w:style w:type="paragraph" w:styleId="Zkladntext">
    <w:name w:val="Body Text"/>
    <w:basedOn w:val="Normln"/>
    <w:link w:val="ZkladntextChar"/>
    <w:rsid w:val="00F608F7"/>
    <w:pPr>
      <w:spacing w:after="0" w:line="220" w:lineRule="exact"/>
    </w:pPr>
    <w:rPr>
      <w:rFonts w:eastAsia="Times New Roman" w:cs="Times New Roman"/>
    </w:rPr>
  </w:style>
  <w:style w:type="character" w:customStyle="1" w:styleId="ZkladntextChar">
    <w:name w:val="Základní text Char"/>
    <w:basedOn w:val="Standardnpsmoodstavce"/>
    <w:link w:val="Zkladntext"/>
    <w:rsid w:val="00F608F7"/>
    <w:rPr>
      <w:rFonts w:ascii="Times New Roman" w:eastAsia="Times New Roman" w:hAnsi="Times New Roman" w:cs="Times New Roman"/>
    </w:rPr>
  </w:style>
  <w:style w:type="paragraph" w:styleId="Odstavecseseznamem">
    <w:name w:val="List Paragraph"/>
    <w:basedOn w:val="Normln"/>
    <w:uiPriority w:val="34"/>
    <w:qFormat/>
    <w:rsid w:val="00DD6D6F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semiHidden/>
    <w:unhideWhenUsed/>
    <w:rsid w:val="007A7269"/>
    <w:pPr>
      <w:spacing w:after="0" w:line="240" w:lineRule="auto"/>
    </w:pPr>
    <w:rPr>
      <w:rFonts w:ascii="Calibri" w:hAnsi="Calibri" w:cs="Times New Roman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7A7269"/>
    <w:rPr>
      <w:rFonts w:ascii="Calibri" w:hAnsi="Calibri" w:cs="Times New Roman"/>
    </w:rPr>
  </w:style>
  <w:style w:type="character" w:customStyle="1" w:styleId="tlid-translation">
    <w:name w:val="tlid-translation"/>
    <w:basedOn w:val="Standardnpsmoodstavce"/>
    <w:rsid w:val="005252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41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86555E-79AB-4038-84E0-5EFB63F4E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Radka Pížová</cp:lastModifiedBy>
  <cp:revision>2</cp:revision>
  <cp:lastPrinted>2017-12-06T10:09:00Z</cp:lastPrinted>
  <dcterms:created xsi:type="dcterms:W3CDTF">2024-01-12T08:02:00Z</dcterms:created>
  <dcterms:modified xsi:type="dcterms:W3CDTF">2024-01-12T08:02:00Z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